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6" w:rsidRPr="00793273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793273">
        <w:rPr>
          <w:rStyle w:val="FontStyle28"/>
          <w:b/>
          <w:sz w:val="28"/>
          <w:szCs w:val="28"/>
        </w:rPr>
        <w:t>Перечень теоретических вопросов для подготовки к экзамену по циклу «Сестринское дело при инфекции»</w:t>
      </w: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Грипп. Этиология, эпидемиология. Особенности клинического течения у детей. Лечение. Профилактика.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t>Менингококковая инфекция. Менингит. Клиническая картина. Лабораторная диагностика. Лечение.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t xml:space="preserve">Менингококковая инфекция. Этиология, эпидемиология. Методы диагностики. Профилактика. 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  <w:rPr>
          <w:rStyle w:val="FontStyle23"/>
        </w:rPr>
      </w:pPr>
      <w:r w:rsidRPr="00741158">
        <w:t>Ботулизм. Этиология, эпидемиология, клиническая картина. Лечение.</w:t>
      </w:r>
      <w:r w:rsidRPr="00741158">
        <w:rPr>
          <w:rStyle w:val="FontStyle23"/>
        </w:rPr>
        <w:t xml:space="preserve"> 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rPr>
          <w:rStyle w:val="FontStyle23"/>
        </w:rPr>
        <w:t>Менингококковая инфекция. Менингококкцемия. Клиническая картина. Лабораторная диагностика.</w:t>
      </w:r>
      <w:r w:rsidRPr="00741158">
        <w:t xml:space="preserve"> 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t xml:space="preserve">Дизентерия. Этиология, эпидемиология, клиническая картина, диагностика. 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t xml:space="preserve">Вирусный гепатит В. Этиология, эпидемиология, клиническая картина. Методы диагностики. Профилактика. 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284"/>
          <w:tab w:val="left" w:pos="1701"/>
        </w:tabs>
        <w:ind w:left="1276" w:hanging="525"/>
      </w:pPr>
      <w:r w:rsidRPr="00741158">
        <w:t>Вирусный гепатит А. Этиология, эпидемиология, клиническая картина. Методы диагностики. Профилактика.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Брюшной тиф. Этиология, эпидемиология, клиническая картина. Методы диагностики. Профилактика.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Бешенство. Этиология. Эпидемиология. Клиника. Уход за больными бешенством. Профилактика.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Сальмонеллез. Этиология, эпидемиология, клиническая картина. Методы диагностики. Лечение.</w:t>
      </w:r>
    </w:p>
    <w:p w:rsidR="009D54A6" w:rsidRPr="00741158" w:rsidRDefault="009D54A6" w:rsidP="009D54A6">
      <w:pPr>
        <w:pStyle w:val="a3"/>
        <w:widowControl w:val="0"/>
        <w:numPr>
          <w:ilvl w:val="0"/>
          <w:numId w:val="1"/>
        </w:numPr>
        <w:tabs>
          <w:tab w:val="left" w:pos="576"/>
          <w:tab w:val="left" w:pos="1701"/>
        </w:tabs>
        <w:autoSpaceDE w:val="0"/>
        <w:autoSpaceDN w:val="0"/>
        <w:adjustRightInd w:val="0"/>
        <w:ind w:left="1276" w:hanging="525"/>
      </w:pPr>
      <w:r w:rsidRPr="00741158">
        <w:t>Ветряная оспа. Этиология, эпидемиология, клиническая картина. Лечение.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autoSpaceDE w:val="0"/>
        <w:autoSpaceDN w:val="0"/>
        <w:adjustRightInd w:val="0"/>
        <w:ind w:left="1276" w:hanging="525"/>
      </w:pPr>
      <w:r w:rsidRPr="00741158">
        <w:t>Лептоспироз. Этиология, эпидемиология, клиническая картина. Лабораторная диагностика.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Вич-инфекция. Диагностика. Профессиональные риски. Противоэпидемический режим. Тактика медицинского персонала при травме на рабочем месте.</w:t>
      </w:r>
    </w:p>
    <w:p w:rsidR="009D54A6" w:rsidRPr="00741158" w:rsidRDefault="009D54A6" w:rsidP="009D54A6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ind w:left="1276" w:hanging="525"/>
        <w:jc w:val="both"/>
      </w:pPr>
      <w:r w:rsidRPr="00741158">
        <w:t>Особо опасные инфекции. Виды. Особенности забора материала для лабораторного исследования. Меры защиты персонала. Противоэпидемические мероприятия в очаге.</w:t>
      </w:r>
    </w:p>
    <w:p w:rsidR="009D54A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</w:pPr>
    </w:p>
    <w:p w:rsidR="009D54A6" w:rsidRPr="00793273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rStyle w:val="FontStyle28"/>
          <w:b/>
          <w:sz w:val="28"/>
          <w:szCs w:val="28"/>
        </w:rPr>
      </w:pPr>
      <w:r w:rsidRPr="00793273">
        <w:rPr>
          <w:rStyle w:val="FontStyle28"/>
          <w:b/>
          <w:sz w:val="28"/>
          <w:szCs w:val="28"/>
        </w:rPr>
        <w:t>Перечень практических манипуляций для подготовки к экзамену по циклу «Сестринское дело при инфекции»</w:t>
      </w: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B80ABF" w:rsidRDefault="009D54A6" w:rsidP="009D54A6">
      <w:pPr>
        <w:pStyle w:val="a3"/>
        <w:numPr>
          <w:ilvl w:val="0"/>
          <w:numId w:val="2"/>
        </w:numPr>
        <w:tabs>
          <w:tab w:val="left" w:pos="0"/>
          <w:tab w:val="left" w:pos="1418"/>
        </w:tabs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измерения АД и оценка показателей.</w:t>
      </w:r>
    </w:p>
    <w:p w:rsidR="009D54A6" w:rsidRPr="00B80ABF" w:rsidRDefault="009D54A6" w:rsidP="009D54A6">
      <w:pPr>
        <w:pStyle w:val="Style2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rPr>
          <w:rStyle w:val="FontStyle32"/>
        </w:rPr>
      </w:pPr>
      <w:r w:rsidRPr="00B80ABF">
        <w:rPr>
          <w:rStyle w:val="FontStyle32"/>
        </w:rPr>
        <w:t>Техника подсчета числа сердечных сокращений и числа дыхательных движений.</w:t>
      </w:r>
    </w:p>
    <w:p w:rsidR="009D54A6" w:rsidRPr="00B80ABF" w:rsidRDefault="009D54A6" w:rsidP="009D54A6">
      <w:pPr>
        <w:pStyle w:val="Style9"/>
        <w:widowControl/>
        <w:numPr>
          <w:ilvl w:val="0"/>
          <w:numId w:val="2"/>
        </w:numPr>
        <w:tabs>
          <w:tab w:val="left" w:pos="0"/>
          <w:tab w:val="left" w:pos="984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 xml:space="preserve">Определение и оценка водного баланса. </w:t>
      </w:r>
    </w:p>
    <w:p w:rsidR="009D54A6" w:rsidRPr="00B80ABF" w:rsidRDefault="009D54A6" w:rsidP="009D54A6">
      <w:pPr>
        <w:pStyle w:val="Style9"/>
        <w:widowControl/>
        <w:numPr>
          <w:ilvl w:val="0"/>
          <w:numId w:val="2"/>
        </w:numPr>
        <w:tabs>
          <w:tab w:val="left" w:pos="0"/>
          <w:tab w:val="left" w:pos="984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Забор анализа на дизгруппу.</w:t>
      </w:r>
    </w:p>
    <w:p w:rsidR="009D54A6" w:rsidRPr="00B80ABF" w:rsidRDefault="009D54A6" w:rsidP="009D54A6">
      <w:pPr>
        <w:pStyle w:val="a3"/>
        <w:numPr>
          <w:ilvl w:val="0"/>
          <w:numId w:val="2"/>
        </w:numPr>
        <w:tabs>
          <w:tab w:val="left" w:pos="0"/>
          <w:tab w:val="left" w:pos="180"/>
          <w:tab w:val="left" w:pos="1418"/>
        </w:tabs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разведения и внутримышечного введения антибиотиков.</w:t>
      </w:r>
    </w:p>
    <w:p w:rsidR="009D54A6" w:rsidRPr="00B80ABF" w:rsidRDefault="009D54A6" w:rsidP="009D54A6">
      <w:pPr>
        <w:pStyle w:val="a3"/>
        <w:numPr>
          <w:ilvl w:val="0"/>
          <w:numId w:val="2"/>
        </w:numPr>
        <w:tabs>
          <w:tab w:val="left" w:pos="0"/>
          <w:tab w:val="left" w:pos="1418"/>
        </w:tabs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Взятие мазка на дифтерию.</w:t>
      </w:r>
    </w:p>
    <w:p w:rsidR="009D54A6" w:rsidRPr="00B80ABF" w:rsidRDefault="009D54A6" w:rsidP="009D54A6">
      <w:pPr>
        <w:pStyle w:val="Style2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rPr>
          <w:rStyle w:val="FontStyle32"/>
        </w:rPr>
      </w:pPr>
      <w:r w:rsidRPr="00B80ABF">
        <w:rPr>
          <w:rStyle w:val="FontStyle32"/>
        </w:rPr>
        <w:t>Определение пульса со всеми характеристиками.</w:t>
      </w:r>
    </w:p>
    <w:p w:rsidR="009D54A6" w:rsidRPr="00B80ABF" w:rsidRDefault="009D54A6" w:rsidP="009D54A6">
      <w:pPr>
        <w:pStyle w:val="Style2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rPr>
          <w:rStyle w:val="FontStyle32"/>
        </w:rPr>
      </w:pPr>
      <w:r w:rsidRPr="00B80ABF">
        <w:rPr>
          <w:rStyle w:val="FontStyle32"/>
        </w:rPr>
        <w:t>Взятие анализа на энтеробиоз.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снятия ЭКГ.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proofErr w:type="gramStart"/>
      <w:r w:rsidRPr="00B80ABF">
        <w:rPr>
          <w:rStyle w:val="FontStyle32"/>
        </w:rPr>
        <w:t>Техника в/в струйного введения лекарственных веществ.</w:t>
      </w:r>
      <w:proofErr w:type="gramEnd"/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забора крови на биохимию.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Порядок одевания и снятия противочумного костюма.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Уход за пациентом при лихорадочных состояниях.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забора крови на стерильность.</w:t>
      </w:r>
    </w:p>
    <w:p w:rsidR="009D54A6" w:rsidRPr="00B80ABF" w:rsidRDefault="009D54A6" w:rsidP="009D54A6">
      <w:pPr>
        <w:pStyle w:val="Style1"/>
        <w:widowControl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line="240" w:lineRule="auto"/>
        <w:ind w:left="851" w:firstLine="0"/>
        <w:jc w:val="both"/>
        <w:rPr>
          <w:rStyle w:val="FontStyle32"/>
        </w:rPr>
      </w:pPr>
      <w:r w:rsidRPr="00B80ABF">
        <w:rPr>
          <w:rStyle w:val="FontStyle32"/>
        </w:rPr>
        <w:t>Техника проведения подкожной инъекции.</w:t>
      </w: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sz w:val="22"/>
          <w:szCs w:val="22"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</w:rPr>
      </w:pP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</w:rPr>
      </w:pPr>
    </w:p>
    <w:p w:rsidR="009D54A6" w:rsidRPr="00793273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793273">
        <w:rPr>
          <w:b/>
          <w:sz w:val="28"/>
          <w:szCs w:val="28"/>
        </w:rPr>
        <w:t>Ситуационные задачи</w:t>
      </w:r>
    </w:p>
    <w:p w:rsidR="009D54A6" w:rsidRPr="003166F6" w:rsidRDefault="009D54A6" w:rsidP="009D54A6">
      <w:pPr>
        <w:pStyle w:val="Style12"/>
        <w:widowControl/>
        <w:tabs>
          <w:tab w:val="left" w:pos="590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</w:p>
    <w:p w:rsidR="009D54A6" w:rsidRPr="00F31B46" w:rsidRDefault="009D54A6" w:rsidP="009D54A6">
      <w:pPr>
        <w:pStyle w:val="a3"/>
        <w:autoSpaceDE w:val="0"/>
        <w:autoSpaceDN w:val="0"/>
        <w:adjustRightInd w:val="0"/>
        <w:ind w:left="567" w:firstLine="709"/>
        <w:jc w:val="both"/>
      </w:pPr>
      <w:r w:rsidRPr="00F31B46">
        <w:t>1. В поликлинику обратился пациент 19 лет с жалобами: на слабость, пониженный аппетит, боли в правом подреберье, рвоту. Заболел 7 дней назад, появились боли в коленных и голеностопных суставах, температура 37,8°, общее недомогание. На 5 день болезни потемнела моча, появился кожный зуд, особенно ночью. Окружающие заметили желтые глаза.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Объективно: </w:t>
      </w:r>
      <w:r w:rsidRPr="00F31B46">
        <w:rPr>
          <w:rFonts w:ascii="Times New Roman" w:hAnsi="Times New Roman"/>
        </w:rPr>
        <w:t>Состояние средней тяжести. Кожные покровы, склеры глаз желтушны. Тоны сердца приглушены. АД 110/70 мм рт ст. Живот мягкий, чувствительный в правом подреберье, печень на 2,5 см ниже реберной дуги. Моча темная.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Из анамнеза: </w:t>
      </w:r>
      <w:r w:rsidRPr="00F31B46">
        <w:rPr>
          <w:rFonts w:ascii="Times New Roman" w:hAnsi="Times New Roman"/>
        </w:rPr>
        <w:t>6 месяцев назад болел бронхитом, получал уколы.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pStyle w:val="a3"/>
        <w:tabs>
          <w:tab w:val="left" w:pos="1418"/>
        </w:tabs>
        <w:autoSpaceDE w:val="0"/>
        <w:autoSpaceDN w:val="0"/>
        <w:adjustRightInd w:val="0"/>
        <w:ind w:left="567" w:firstLine="709"/>
        <w:jc w:val="both"/>
      </w:pPr>
      <w:r w:rsidRPr="00F31B46">
        <w:t>2. В инфекционное отделение поступил мальчик 11 лет с жалобами на рвоту, отсутствие аппетита, слабость, желтуху. Болен в течение 5 дней, когда повысилась температура до 37,6°, слабость, тошнота, был жидкий стул, без патологических примесей.</w:t>
      </w:r>
    </w:p>
    <w:p w:rsidR="009D54A6" w:rsidRPr="00F31B46" w:rsidRDefault="009D54A6" w:rsidP="009D54A6">
      <w:pPr>
        <w:pStyle w:val="a3"/>
        <w:tabs>
          <w:tab w:val="left" w:pos="1418"/>
        </w:tabs>
        <w:autoSpaceDE w:val="0"/>
        <w:autoSpaceDN w:val="0"/>
        <w:adjustRightInd w:val="0"/>
        <w:ind w:left="567" w:firstLine="709"/>
        <w:jc w:val="both"/>
      </w:pPr>
      <w:r w:rsidRPr="00F31B46">
        <w:t>Объективно: Состояние средней тяжести, вялый, кожные покровы чистые, слегка желтушные, склеры глаз иктеричны. Живот мягкий, печень на 2,5 см ниже реберной дуги, чувствительная. Моча темная, кал обесцвечен.</w:t>
      </w:r>
    </w:p>
    <w:p w:rsidR="009D54A6" w:rsidRPr="00F31B46" w:rsidRDefault="009D54A6" w:rsidP="009D54A6">
      <w:pPr>
        <w:pStyle w:val="a3"/>
        <w:tabs>
          <w:tab w:val="left" w:pos="1418"/>
        </w:tabs>
        <w:autoSpaceDE w:val="0"/>
        <w:autoSpaceDN w:val="0"/>
        <w:adjustRightInd w:val="0"/>
        <w:ind w:left="567" w:firstLine="709"/>
        <w:jc w:val="both"/>
      </w:pPr>
    </w:p>
    <w:p w:rsidR="009D54A6" w:rsidRPr="00F31B46" w:rsidRDefault="009D54A6" w:rsidP="009D54A6">
      <w:pPr>
        <w:tabs>
          <w:tab w:val="left" w:pos="605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 xml:space="preserve">3. В инфекционное отделение поступила </w:t>
      </w:r>
      <w:r>
        <w:rPr>
          <w:rFonts w:ascii="Times New Roman" w:hAnsi="Times New Roman"/>
        </w:rPr>
        <w:t>пациентка</w:t>
      </w:r>
      <w:r w:rsidRPr="00F31B46">
        <w:rPr>
          <w:rFonts w:ascii="Times New Roman" w:hAnsi="Times New Roman"/>
        </w:rPr>
        <w:t xml:space="preserve"> 46 лет. Жалобы: на сильную головную боль, температура 39,2</w:t>
      </w:r>
      <w:proofErr w:type="gramStart"/>
      <w:r w:rsidRPr="00F31B46">
        <w:rPr>
          <w:rFonts w:ascii="Times New Roman" w:hAnsi="Times New Roman"/>
        </w:rPr>
        <w:t>°С</w:t>
      </w:r>
      <w:proofErr w:type="gramEnd"/>
      <w:r w:rsidRPr="00F31B46">
        <w:rPr>
          <w:rFonts w:ascii="Times New Roman" w:hAnsi="Times New Roman"/>
        </w:rPr>
        <w:t xml:space="preserve">, слабость, отсутствие аппетита. </w:t>
      </w:r>
      <w:r>
        <w:rPr>
          <w:rFonts w:ascii="Times New Roman" w:hAnsi="Times New Roman"/>
        </w:rPr>
        <w:t>Пациентка</w:t>
      </w:r>
      <w:r w:rsidRPr="00F31B46">
        <w:rPr>
          <w:rFonts w:ascii="Times New Roman" w:hAnsi="Times New Roman"/>
        </w:rPr>
        <w:t xml:space="preserve"> в течение 9 дней, лечилась: аспирин, бисептол.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Объективно: </w:t>
      </w:r>
      <w:r>
        <w:rPr>
          <w:rFonts w:ascii="Times New Roman" w:hAnsi="Times New Roman"/>
        </w:rPr>
        <w:t>пациентка</w:t>
      </w:r>
      <w:r w:rsidRPr="00F31B46">
        <w:rPr>
          <w:rFonts w:ascii="Times New Roman" w:hAnsi="Times New Roman"/>
        </w:rPr>
        <w:t xml:space="preserve"> заторможена, лицо бледное. Язык утолщен, покрыт коричневым налетом с отпечатками зубов. На коже живота 8 элементов розеолезной сыпи. Пульс 96 в минуту. АД 90/60 мм рт ст. Живот мягкий, при пальпации незначительные боли в правой подвздошной области. Увеличена печень до 1,5 см, безболезненная.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4. Пациент 17 лет обратился на «Скорую помощь» с жалобами на сильнейшую головную боль разлитого характера, рвоту, боль в мышцах шеи, спины. Заболел остро накануне, когда появилась головная боль, слабость. Ночью головная боль усилилась, дважды была рвота.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Объективно: </w:t>
      </w:r>
      <w:r w:rsidRPr="00F31B46">
        <w:rPr>
          <w:rFonts w:ascii="Times New Roman" w:hAnsi="Times New Roman"/>
        </w:rPr>
        <w:t>Состояние тяжелое, температура 39,8°. Сыпи на коже нет. Сознание ясное. Выражена ригидность затылочных мышц, симптомы Кернига и Брудзинского положительные с обеих сторон. Брюшные рефлексы отсутствуют. Тоны сердца приглушены. Пульс 62 в минуту, удовлетворительный. АД 140/80 мм рт ст. В легких везикулярное дыхание.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Style w:val="FontStyle23"/>
          <w:sz w:val="24"/>
          <w:szCs w:val="24"/>
        </w:rPr>
        <w:t xml:space="preserve">5. В медпункт рабочего поселка обратился мужчина 26 лет. Жалобы на боли в области большого и указательного пальцев правой кисти и правого предплечья. Анамнез: накануне укусила лисица. Поймал и принес ее из леса сын. </w:t>
      </w:r>
      <w:r w:rsidRPr="00F31B46">
        <w:rPr>
          <w:rStyle w:val="FontStyle24"/>
          <w:sz w:val="24"/>
          <w:szCs w:val="24"/>
        </w:rPr>
        <w:t>Объективно:</w:t>
      </w:r>
      <w:r w:rsidRPr="00F31B46">
        <w:rPr>
          <w:rStyle w:val="FontStyle23"/>
          <w:sz w:val="24"/>
          <w:szCs w:val="24"/>
        </w:rPr>
        <w:t xml:space="preserve"> укушенная рана правого предплечья и большого и указательного пальцев правой руки.</w:t>
      </w:r>
      <w:r w:rsidRPr="00F31B46">
        <w:rPr>
          <w:rFonts w:ascii="Times New Roman" w:hAnsi="Times New Roman"/>
        </w:rPr>
        <w:t xml:space="preserve"> 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6. Студентка 18 лет поступила в инфекционное отделение на 2-ой день заболевания с жалобами на температуру 40,1°, сильную головную боль в лобной области, боли в глазных яблоках, ломота в пояснице, суставах, мышцах, заложенность носа, першение в горле, сухой надсадный кашель с болями за грудиной.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lastRenderedPageBreak/>
        <w:t xml:space="preserve">Объективно. </w:t>
      </w:r>
      <w:r w:rsidRPr="00F31B46">
        <w:rPr>
          <w:rFonts w:ascii="Times New Roman" w:hAnsi="Times New Roman"/>
        </w:rPr>
        <w:t xml:space="preserve">Состояние средней тяжести, гиперемия, одутловатость лица инъекция сосудов склер глаз, в зеве разлитая гиперемия. </w:t>
      </w:r>
      <w:r w:rsidRPr="00F31B46">
        <w:rPr>
          <w:rFonts w:ascii="Times New Roman" w:hAnsi="Times New Roman"/>
          <w:bCs/>
        </w:rPr>
        <w:t xml:space="preserve">В </w:t>
      </w:r>
      <w:r w:rsidRPr="00F31B46">
        <w:rPr>
          <w:rFonts w:ascii="Times New Roman" w:hAnsi="Times New Roman"/>
        </w:rPr>
        <w:t>легких везикулярное дыхание. Пульс 102 в минуту. Живот мягкий, безболезненный.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7. В инфекционное отделение доставлен в тяжелом состоянии ребенок 12 лет, с высокой температурой - 39,6°, спутанным сознанием. Заболел накануне. Внезапно появился озноб, повысилась температура, была повторная рвота, был жидкий стул без патологических примесей.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Объективно. </w:t>
      </w:r>
      <w:r w:rsidRPr="00F31B46">
        <w:rPr>
          <w:rFonts w:ascii="Times New Roman" w:hAnsi="Times New Roman"/>
        </w:rPr>
        <w:t>Кожные покровы бледные, отмечается ригидность затылочных мышц. Симптом Кернига положительный. На коже ягодиц, бедрах, голенях единичная геморрагическая сыпь. Живот мягкий, безболезненный.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 xml:space="preserve">8. В инфекционное отделение поступила </w:t>
      </w:r>
      <w:r>
        <w:rPr>
          <w:rFonts w:ascii="Times New Roman" w:hAnsi="Times New Roman"/>
        </w:rPr>
        <w:t>пациентка</w:t>
      </w:r>
      <w:r w:rsidRPr="00F31B46">
        <w:rPr>
          <w:rFonts w:ascii="Times New Roman" w:hAnsi="Times New Roman"/>
        </w:rPr>
        <w:t xml:space="preserve"> с жалобами на острые схваткообразные боли в животе, больше слева, жидкий стул 5-6 раз в сутки, головную боль, слабость, заболел накануне.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Объективно. </w:t>
      </w:r>
      <w:r w:rsidRPr="00F31B46">
        <w:rPr>
          <w:rFonts w:ascii="Times New Roman" w:hAnsi="Times New Roman"/>
        </w:rPr>
        <w:t>Состояние средней тяжести, температура 38,2°. Кожные покровы чистые. Язык обложен белым налетом. Живот мягкий, болезненный в левой подвздошной области, пальпируется спазмированная сигма, пульс 90 в минуту, АД 110/70 мм рт ст. Стул скудный, с примесью слизи и крови.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9. Ребенок 9 лет. Заболел остро с повышением температуры до 39</w:t>
      </w:r>
      <w:r w:rsidRPr="00F31B46">
        <w:rPr>
          <w:rFonts w:ascii="Times New Roman" w:hAnsi="Times New Roman"/>
          <w:vertAlign w:val="superscript"/>
        </w:rPr>
        <w:t>0</w:t>
      </w:r>
      <w:r w:rsidRPr="00F31B46">
        <w:rPr>
          <w:rFonts w:ascii="Times New Roman" w:hAnsi="Times New Roman"/>
        </w:rPr>
        <w:t xml:space="preserve">. Отмечается слабость, вялость, снижение аппетита. На 3 день появились высыпания на лице, шее, туловище, руках пятнисто- папулезная сыпь. У ребенка конъюнктивальная гиперемия, увеличение </w:t>
      </w:r>
      <w:proofErr w:type="gramStart"/>
      <w:r w:rsidRPr="00F31B46">
        <w:rPr>
          <w:rFonts w:ascii="Times New Roman" w:hAnsi="Times New Roman"/>
        </w:rPr>
        <w:t>шейных</w:t>
      </w:r>
      <w:proofErr w:type="gramEnd"/>
      <w:r w:rsidRPr="00F31B46">
        <w:rPr>
          <w:rFonts w:ascii="Times New Roman" w:hAnsi="Times New Roman"/>
        </w:rPr>
        <w:t>, затылочных лимфоузлов. На слизистой оболочке мягкого неба, щек - мелкие белесоватые пятнышки.</w:t>
      </w:r>
    </w:p>
    <w:p w:rsidR="009D54A6" w:rsidRPr="00F31B46" w:rsidRDefault="009D54A6" w:rsidP="009D54A6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10. К ребенку 5 лет вызван педиатр. У ребенка температура 38,6</w:t>
      </w:r>
      <w:proofErr w:type="gramStart"/>
      <w:r w:rsidRPr="00F31B46">
        <w:rPr>
          <w:rFonts w:ascii="Times New Roman" w:hAnsi="Times New Roman"/>
          <w:vertAlign w:val="superscript"/>
        </w:rPr>
        <w:t>°</w:t>
      </w:r>
      <w:r w:rsidRPr="00F31B46">
        <w:rPr>
          <w:rFonts w:ascii="Times New Roman" w:hAnsi="Times New Roman"/>
        </w:rPr>
        <w:t>С</w:t>
      </w:r>
      <w:proofErr w:type="gramEnd"/>
      <w:r w:rsidRPr="00F31B46">
        <w:rPr>
          <w:rFonts w:ascii="Times New Roman" w:hAnsi="Times New Roman"/>
        </w:rPr>
        <w:t>, капризничает, беспокойный, снижен аппетит. На коже лица, волосистой части головы высыпания в виде капельки росы. Имеются пятнисто - папулезные высыпания. Болен второй день.</w:t>
      </w:r>
    </w:p>
    <w:p w:rsidR="009D54A6" w:rsidRPr="00F31B46" w:rsidRDefault="009D54A6" w:rsidP="009D54A6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11. На стационарном лечении находится девочка 6 лет. Предъявляет жалобы на головную боль, слабость, разбитость, повышение температуры до 38°С. Отмечается припухлость впереди мочки уха, с переходом на область шеи. При пальпации болезненность.</w:t>
      </w:r>
    </w:p>
    <w:p w:rsidR="009D54A6" w:rsidRPr="00F31B46" w:rsidRDefault="009D54A6" w:rsidP="009D54A6">
      <w:pPr>
        <w:tabs>
          <w:tab w:val="left" w:pos="284"/>
        </w:tabs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12. Пациент 54 года, заболел остро. Появился озноб, повысилась температура до 39,6</w:t>
      </w:r>
      <w:proofErr w:type="gramStart"/>
      <w:r w:rsidRPr="00F31B46">
        <w:rPr>
          <w:rFonts w:ascii="Times New Roman" w:hAnsi="Times New Roman"/>
        </w:rPr>
        <w:t>°С</w:t>
      </w:r>
      <w:proofErr w:type="gramEnd"/>
      <w:r w:rsidRPr="00F31B46">
        <w:rPr>
          <w:rFonts w:ascii="Times New Roman" w:hAnsi="Times New Roman"/>
        </w:rPr>
        <w:t xml:space="preserve">, повторная рвота, боли в животе и жидкий стул. </w:t>
      </w:r>
      <w:r>
        <w:rPr>
          <w:rFonts w:ascii="Times New Roman" w:hAnsi="Times New Roman"/>
        </w:rPr>
        <w:t>Пациент</w:t>
      </w:r>
      <w:r w:rsidRPr="00F31B46">
        <w:rPr>
          <w:rFonts w:ascii="Times New Roman" w:hAnsi="Times New Roman"/>
        </w:rPr>
        <w:t xml:space="preserve"> доставлен в инфекционное отделение в тот же день. Общее состояние средней тяжести, температура 38,8°, слабость, недомогание. Кожные покровы бледные, язык сухой, покрыт белым налетом. Живот мягкий, болезненный в эпигастральной области, вокруг пупка, отмечается вздутие живота, урчание. Стул через каждые 1,5 часа, жидкий, обильный, со слизью и зеленью, водянистый, зловонный. </w:t>
      </w:r>
      <w:r w:rsidRPr="00F31B46">
        <w:rPr>
          <w:rFonts w:ascii="Times New Roman" w:hAnsi="Times New Roman"/>
          <w:bCs/>
        </w:rPr>
        <w:t xml:space="preserve">Эпид. анамнез. </w:t>
      </w:r>
      <w:r w:rsidRPr="00F31B46">
        <w:rPr>
          <w:rFonts w:ascii="Times New Roman" w:hAnsi="Times New Roman"/>
        </w:rPr>
        <w:t>Накануне ел борщ, вареную колбасу, пил сырые яйца, арбуз сливы.</w:t>
      </w:r>
    </w:p>
    <w:p w:rsidR="009D54A6" w:rsidRPr="00F31B46" w:rsidRDefault="009D54A6" w:rsidP="009D54A6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13. Пациент 16 лет обратился на «Скорую помощь» 5 ноября на пятый день болезни. Жалобы: на лающий кашель, охриплость голоса, затрудненное дыхание, температура 38°, головная боль, насморк.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</w:rPr>
        <w:t>Заболевание началось постепенно с охриплости голоса, сухого кашля, уловной боли. Температура колебалась от 37.3° до 38°. Вчера «пропал» голос, усилился кашель, сегодня появилась одышка. Свое заболевание связывает с переохлаждением.</w:t>
      </w:r>
    </w:p>
    <w:p w:rsidR="009D54A6" w:rsidRPr="00F31B46" w:rsidRDefault="009D54A6" w:rsidP="009D54A6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Эпид. анамнез: </w:t>
      </w:r>
      <w:r w:rsidRPr="00F31B46">
        <w:rPr>
          <w:rFonts w:ascii="Times New Roman" w:hAnsi="Times New Roman"/>
        </w:rPr>
        <w:t>Был контакт неделю назад с товарищем, у которого тоже был охрипший голос, кашель, насморк.</w:t>
      </w:r>
    </w:p>
    <w:p w:rsidR="009D54A6" w:rsidRPr="00F31B46" w:rsidRDefault="009D54A6" w:rsidP="009D54A6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F31B46">
        <w:rPr>
          <w:rFonts w:ascii="Times New Roman" w:hAnsi="Times New Roman"/>
          <w:bCs/>
        </w:rPr>
        <w:t xml:space="preserve">Объективно: </w:t>
      </w:r>
      <w:r w:rsidRPr="00F31B46">
        <w:rPr>
          <w:rFonts w:ascii="Times New Roman" w:hAnsi="Times New Roman"/>
        </w:rPr>
        <w:t>Общее состояние тяжелое. Одышка, число дыха</w:t>
      </w:r>
      <w:r>
        <w:rPr>
          <w:rFonts w:ascii="Times New Roman" w:hAnsi="Times New Roman"/>
        </w:rPr>
        <w:t>тельных движений</w:t>
      </w:r>
      <w:r w:rsidRPr="00F31B46">
        <w:rPr>
          <w:rFonts w:ascii="Times New Roman" w:hAnsi="Times New Roman"/>
        </w:rPr>
        <w:t xml:space="preserve"> 40 </w:t>
      </w:r>
      <w:proofErr w:type="gramStart"/>
      <w:r w:rsidRPr="00F31B46">
        <w:rPr>
          <w:rFonts w:ascii="Times New Roman" w:hAnsi="Times New Roman"/>
        </w:rPr>
        <w:t>в</w:t>
      </w:r>
      <w:proofErr w:type="gramEnd"/>
      <w:r w:rsidRPr="00F31B46">
        <w:rPr>
          <w:rFonts w:ascii="Times New Roman" w:hAnsi="Times New Roman"/>
        </w:rPr>
        <w:t xml:space="preserve"> </w:t>
      </w:r>
      <w:proofErr w:type="gramStart"/>
      <w:r w:rsidRPr="00F31B46">
        <w:rPr>
          <w:rFonts w:ascii="Times New Roman" w:hAnsi="Times New Roman"/>
        </w:rPr>
        <w:t>мин</w:t>
      </w:r>
      <w:proofErr w:type="gramEnd"/>
      <w:r w:rsidRPr="00F31B46">
        <w:rPr>
          <w:rFonts w:ascii="Times New Roman" w:hAnsi="Times New Roman"/>
        </w:rPr>
        <w:t xml:space="preserve">, цианоз губ и кончика носа. Зев умеренно гиперемирован. Афония. Ринит. Пульс 120 </w:t>
      </w:r>
      <w:proofErr w:type="gramStart"/>
      <w:r w:rsidRPr="00F31B46">
        <w:rPr>
          <w:rFonts w:ascii="Times New Roman" w:hAnsi="Times New Roman"/>
        </w:rPr>
        <w:t>в</w:t>
      </w:r>
      <w:proofErr w:type="gramEnd"/>
      <w:r w:rsidRPr="00F31B46">
        <w:rPr>
          <w:rFonts w:ascii="Times New Roman" w:hAnsi="Times New Roman"/>
        </w:rPr>
        <w:t xml:space="preserve"> мин., удовлетворительный. АД 150/90 мм рт ст. В легких жесткое дыхание, рассеянные сухие и разнокалиберные влажные хрипы в нижних отделах. Живот мягкий, безболезненный. Печень и селезенка не пальпируются.</w:t>
      </w:r>
    </w:p>
    <w:p w:rsidR="009D54A6" w:rsidRPr="00F31B46" w:rsidRDefault="009D54A6" w:rsidP="009D54A6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pStyle w:val="a3"/>
        <w:autoSpaceDE w:val="0"/>
        <w:autoSpaceDN w:val="0"/>
        <w:adjustRightInd w:val="0"/>
        <w:ind w:left="567" w:firstLine="709"/>
        <w:jc w:val="both"/>
      </w:pPr>
      <w:r w:rsidRPr="00F31B46">
        <w:t xml:space="preserve">14. </w:t>
      </w:r>
      <w:r>
        <w:t>Пациентка</w:t>
      </w:r>
      <w:r w:rsidRPr="00F31B46">
        <w:t xml:space="preserve"> Н., 17 лет, поступила в инфекционный стационар рано утром с остро развившимся заболеванием. Ночью появился жидкий водянистый стул 10 раз в т</w:t>
      </w:r>
      <w:r>
        <w:t>ечение 2-3 часов, затем дефека</w:t>
      </w:r>
      <w:r w:rsidRPr="00F31B46">
        <w:t>ция участилась, стул стал бессчетное количество раз, постепенно приобрел вид и консистенцию «рисового отвара». Присоединилась обильная рвота «фонтаном». При осмотре: состояние тяжелое. Температура тела 35,7</w:t>
      </w:r>
      <w:r>
        <w:t>°С. Кожные покровы бледные, ак</w:t>
      </w:r>
      <w:r w:rsidRPr="00F31B46">
        <w:t xml:space="preserve">роцианоз. Черты лица заострены. Тургор кожи снижен, «руки прачки». Под глазами темные круги. Отмечается судорожный синдром в виде «руки акушера» и «конской стопы». ЧДД - 30/мин., тоны сердца глухие, пульс - 126/мин., нитевидный, АД - 60/40 мм рт.ст. Язык сухой, обложен густым темным налетом. Живот запавший, безболезненный. При пальпации отмечается урчание, шум плеска жидкости в мезогастрии. Анурия. Из эпидемиологического анамнеза: 3 дня назад вернулась из туристической поездки в Индию. </w:t>
      </w:r>
    </w:p>
    <w:p w:rsidR="009D54A6" w:rsidRPr="00F31B46" w:rsidRDefault="009D54A6" w:rsidP="009D54A6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9D54A6" w:rsidRPr="00F31B46" w:rsidRDefault="009D54A6" w:rsidP="009D54A6">
      <w:pPr>
        <w:pStyle w:val="a3"/>
        <w:tabs>
          <w:tab w:val="left" w:pos="1418"/>
        </w:tabs>
        <w:autoSpaceDE w:val="0"/>
        <w:autoSpaceDN w:val="0"/>
        <w:adjustRightInd w:val="0"/>
        <w:ind w:left="567" w:firstLine="709"/>
        <w:jc w:val="both"/>
      </w:pPr>
      <w:r w:rsidRPr="00F31B46">
        <w:t xml:space="preserve">15. К хирургу в поликлинику обратился </w:t>
      </w:r>
      <w:r>
        <w:t>пациент</w:t>
      </w:r>
      <w:r w:rsidRPr="00F31B46">
        <w:t xml:space="preserve"> Д., 40 лет, рубщик мяса на рынке,    приехавший из Ставропольского края. Неделю назад на внутренней поверхности левого предплечья появился красноватый узелок, вокруг которого отмечался зуд кожных покровов. На следующий день узелок превратился в пузырь, затем появились новые пузыри. Р</w:t>
      </w:r>
      <w:r>
        <w:t>ука отекла, кожа предплечья по</w:t>
      </w:r>
      <w:r w:rsidRPr="00F31B46">
        <w:t>темнела, приобрела синюшную окраску. Присоединилось чувство жара, повысилась температура тела до 38°С.. Болевых ощущений в руке не отмечает. При осмотре: нижняя треть предплечья левой конечности резко отечна, кожа вокруг узелков слегка цианотична. На коже предплечья ближе к кисти корка темно-коричневого цвета, диаметром до 3,0 см, вокруг нее пузырьки в виде венчика, заполненные красноватой жидкостью. Пальпация узелков безболезненна. Отмечаются увеличенные подмышечные лимфоузлы слева в виде конгломерата до 3,0 см в диаметре.</w:t>
      </w:r>
    </w:p>
    <w:p w:rsidR="0015285F" w:rsidRDefault="009D54A6"/>
    <w:sectPr w:rsidR="0015285F" w:rsidSect="006F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469"/>
    <w:multiLevelType w:val="hybridMultilevel"/>
    <w:tmpl w:val="D4AA3748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62E650D2"/>
    <w:multiLevelType w:val="hybridMultilevel"/>
    <w:tmpl w:val="8F4C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54A6"/>
    <w:rsid w:val="001376ED"/>
    <w:rsid w:val="001A3E46"/>
    <w:rsid w:val="001D6D21"/>
    <w:rsid w:val="00347B75"/>
    <w:rsid w:val="006A24E9"/>
    <w:rsid w:val="006B5831"/>
    <w:rsid w:val="006F5875"/>
    <w:rsid w:val="009D54A6"/>
    <w:rsid w:val="00C47AD8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9D54A6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D54A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9D54A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D54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D54A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D54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9D54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D54A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9D54A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2017-11-15T07:50:00Z</dcterms:created>
  <dcterms:modified xsi:type="dcterms:W3CDTF">2017-11-15T07:50:00Z</dcterms:modified>
</cp:coreProperties>
</file>